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ind w:firstLine="0"/>
        <w:jc w:val="center"/>
      </w:pPr>
      <w:r>
        <w:rPr>
          <w:b/>
          <w:bCs/>
          <w:sz w:val="28"/>
          <w:szCs w:val="28"/>
        </w:rPr>
        <w:t xml:space="preserve">UNIWERSYTET WARSZAWSKI</w:t>
      </w:r>
    </w:p>
    <w:p>
      <w:pPr>
        <w:ind w:firstLine="0"/>
        <w:jc w:val="center"/>
      </w:pPr>
      <w:r>
        <w:rPr>
          <w:sz w:val="24"/>
          <w:szCs w:val="24"/>
        </w:rPr>
        <w:t xml:space="preserve">Wydział Pedagogiczny</w:t>
      </w:r>
    </w:p>
    <w:p>
      <w:pPr>
        <w:ind w:firstLine="0"/>
        <w:jc w:val="center"/>
      </w:pPr>
      <w:r>
        <w:rPr>
          <w:sz w:val="24"/>
          <w:szCs w:val="24"/>
        </w:rPr>
        <w:t xml:space="preserve">Kierunek: Pedagogika</w:t>
      </w:r>
    </w:p>
    <w:p>
      <w:pPr>
        <w:spacing w:before="1440"/>
        <w:ind w:firstLine="0"/>
        <w:jc w:val="center"/>
      </w:pPr>
    </w:p>
    <w:p>
      <w:pPr>
        <w:ind w:firstLine="0"/>
        <w:jc w:val="center"/>
      </w:pPr>
      <w:r>
        <w:rPr>
          <w:b/>
          <w:bCs/>
          <w:sz w:val="28"/>
          <w:szCs w:val="28"/>
        </w:rPr>
        <w:t xml:space="preserve">Anna Kowalska</w:t>
      </w:r>
    </w:p>
    <w:p>
      <w:pPr>
        <w:ind w:firstLine="0"/>
        <w:jc w:val="center"/>
      </w:pPr>
      <w:r>
        <w:rPr>
          <w:sz w:val="24"/>
          <w:szCs w:val="24"/>
        </w:rPr>
        <w:t xml:space="preserve">Nr albumu: 123456</w:t>
      </w:r>
    </w:p>
    <w:p>
      <w:pPr>
        <w:spacing w:after="480" w:before="960" w:line="288" w:lineRule="auto"/>
        <w:ind w:firstLine="0"/>
        <w:jc w:val="center"/>
      </w:pPr>
      <w:r>
        <w:rPr>
          <w:b/>
          <w:bCs/>
          <w:sz w:val="36"/>
          <w:szCs w:val="36"/>
        </w:rPr>
        <w:t xml:space="preserve">Wpływ czytania na rozwój słownictwa dzieci</w:t>
      </w:r>
    </w:p>
    <w:p>
      <w:pPr>
        <w:ind w:firstLine="0"/>
        <w:jc w:val="center"/>
      </w:pPr>
      <w:r>
        <w:rPr>
          <w:sz w:val="26"/>
          <w:szCs w:val="26"/>
        </w:rPr>
        <w:t xml:space="preserve">Praca magisterska</w:t>
      </w:r>
    </w:p>
    <w:p>
      <w:pPr>
        <w:spacing w:before="1200"/>
        <w:ind w:firstLine="0"/>
        <w:jc w:val="right"/>
      </w:pPr>
      <w:r>
        <w:rPr>
          <w:sz w:val="24"/>
          <w:szCs w:val="24"/>
        </w:rPr>
        <w:t xml:space="preserve">Praca napisana pod kierunkiem</w:t>
      </w:r>
    </w:p>
    <w:p>
      <w:pPr>
        <w:ind w:firstLine="0"/>
        <w:jc w:val="right"/>
      </w:pPr>
      <w:r>
        <w:rPr>
          <w:sz w:val="24"/>
          <w:szCs w:val="24"/>
        </w:rPr>
        <w:t xml:space="preserve">dr hab. Jan Nowak, prof. UW</w:t>
      </w:r>
    </w:p>
    <w:p>
      <w:pPr>
        <w:spacing w:before="1920"/>
        <w:ind w:firstLine="0"/>
        <w:jc w:val="center"/>
      </w:pPr>
    </w:p>
    <w:p>
      <w:pPr>
        <w:ind w:firstLine="0"/>
        <w:jc w:val="center"/>
      </w:pPr>
      <w:r>
        <w:rPr>
          <w:sz w:val="24"/>
          <w:szCs w:val="24"/>
        </w:rPr>
        <w:t xml:space="preserve">Warszawa 2026</w:t>
      </w:r>
    </w:p>
    <w:p>
      <w:r>
        <w:br w:type="page"/>
      </w:r>
    </w:p>
    <w:p>
      <w:pPr>
        <w:spacing w:after="240"/>
        <w:ind w:firstLine="0"/>
      </w:pPr>
      <w:r>
        <w:rPr>
          <w:b/>
          <w:bCs/>
          <w:sz w:val="32"/>
          <w:szCs w:val="32"/>
        </w:rPr>
        <w:t xml:space="preserve">Spis treści</w:t>
      </w:r>
    </w:p>
    <w:sdt>
      <w:sdtPr>
        <w:alias w:val="Spis treści"/>
      </w:sdtPr>
      <w:sdtContent>
        <w:p>
          <w:pPr>
            <w:pStyle w:val="TOC1"/>
            <w:tabs>
              <w:tab w:val="right" w:pos="8504" w:leader="dot"/>
            </w:tabs>
          </w:pPr>
          <w:r>
            <w:fldChar w:fldCharType="begin" w:dirty="false"/>
            <w:instrText xml:space="preserve">TOC \h \o "1-3"</w:instrText>
            <w:fldChar w:fldCharType="separate"/>
          </w:r>
          <w:r>
            <w:t xml:space="preserve">Wstęp</w:t>
            <w:tab/>
            <w:t xml:space="preserve">3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Rozdział 1 Podstawy teoretyczne</w:t>
            <w:tab/>
            <w:t xml:space="preserve">4</w:t>
          </w:r>
        </w:p>
        <w:p>
          <w:pPr>
            <w:pStyle w:val="TOC2"/>
            <w:tabs>
              <w:tab w:val="right" w:pos="8504" w:leader="dot"/>
            </w:tabs>
          </w:pPr>
          <w:r>
            <w:t xml:space="preserve">1.1. Czym jest słownictwo</w:t>
            <w:tab/>
            <w:t xml:space="preserve">4</w:t>
          </w:r>
        </w:p>
        <w:p>
          <w:pPr>
            <w:pStyle w:val="TOC2"/>
            <w:tabs>
              <w:tab w:val="right" w:pos="8504" w:leader="dot"/>
            </w:tabs>
          </w:pPr>
          <w:r>
            <w:t xml:space="preserve">1.2. Czytanie a rozwój mowy</w:t>
            <w:tab/>
            <w:t xml:space="preserve">4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Rozdział 2 Metodologia badań własnych</w:t>
            <w:tab/>
            <w:t xml:space="preserve">5</w:t>
          </w:r>
        </w:p>
        <w:p>
          <w:pPr>
            <w:pStyle w:val="TOC2"/>
            <w:tabs>
              <w:tab w:val="right" w:pos="8504" w:leader="dot"/>
            </w:tabs>
          </w:pPr>
          <w:r>
            <w:t xml:space="preserve">2.1. Cel i problem badawczy</w:t>
            <w:tab/>
            <w:t xml:space="preserve">5</w:t>
          </w:r>
        </w:p>
        <w:p>
          <w:pPr>
            <w:pStyle w:val="TOC2"/>
            <w:tabs>
              <w:tab w:val="right" w:pos="8504" w:leader="dot"/>
            </w:tabs>
          </w:pPr>
          <w:r>
            <w:t xml:space="preserve">2.2. Wyniki ankiety</w:t>
            <w:tab/>
            <w:t xml:space="preserve">5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Zakończenie</w:t>
            <w:tab/>
            <w:t xml:space="preserve">6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Bibliografia</w:t>
            <w:tab/>
            <w:t xml:space="preserve">7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Spis tabel</w:t>
            <w:tab/>
            <w:t xml:space="preserve">8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Spis rysunków</w:t>
            <w:tab/>
            <w:t xml:space="preserve">8</w:t>
          </w:r>
        </w:p>
        <w:p>
          <w:pPr>
            <w:pStyle w:val="TOC1"/>
            <w:tabs>
              <w:tab w:val="right" w:pos="8504" w:leader="dot"/>
            </w:tabs>
          </w:pPr>
          <w:r>
            <w:t xml:space="preserve">Aneks</w:t>
            <w:tab/>
            <w:t xml:space="preserve">9</w:t>
          </w:r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Wstęp</w:t>
      </w:r>
    </w:p>
    <w:p>
      <w:r>
        <w:t xml:space="preserve">Wprowadzenie do tematu pracy: uzasadnienie wyboru tematu, cel pracy, problem badawczy, hipotezy, metody badawcze i omówienie struktury pracy.</w:t>
      </w:r>
    </w:p>
    <w:p>
      <w:r>
        <w:br w:type="page"/>
      </w:r>
    </w:p>
    <w:p>
      <w:pPr>
        <w:pStyle w:val="Heading1"/>
        <w:numPr>
          <w:ilvl w:val="0"/>
          <w:numId w:val="2"/>
        </w:numPr>
      </w:pPr>
      <w:r>
        <w:t xml:space="preserve">Podstawy teoretyczne</w:t>
      </w:r>
    </w:p>
    <w:p>
      <w:pPr>
        <w:pStyle w:val="Heading2"/>
        <w:numPr>
          <w:ilvl w:val="1"/>
          <w:numId w:val="2"/>
        </w:numPr>
      </w:pPr>
      <w:r>
        <w:t xml:space="preserve">Czym jest słownictwo</w:t>
      </w:r>
    </w:p>
    <w:p>
      <w:pPr>
        <w:jc w:val="both"/>
      </w:pPr>
      <w:r>
        <w:t xml:space="preserve">Słownictwo to zasób wyrazów, które człowiek rozumie i którymi się posługuje. Badacze odróżniają słownictwo czynne od biernego</w:t>
      </w:r>
      <w:r>
        <w:rPr>
          <w:rStyle w:val="FootnoteReference"/>
        </w:rPr>
        <w:footnoteReference w:id="1"/>
      </w:r>
      <w:r>
        <w:t xml:space="preserve">. Czytanie książek w dzieciństwie wpływa na bogactwo słownictwa, umiejętność rozumienia tekstu i wyobraźnię. Dzieci, którym rodzice czytają codziennie, szybciej uczą się nowych słów i chętniej same sięgają po książki.</w:t>
      </w:r>
    </w:p>
    <w:p>
      <w:pPr>
        <w:pStyle w:val="Heading2"/>
        <w:numPr>
          <w:ilvl w:val="1"/>
          <w:numId w:val="2"/>
        </w:numPr>
      </w:pPr>
      <w:r>
        <w:t xml:space="preserve">Czytanie a rozwój mowy</w:t>
      </w:r>
    </w:p>
    <w:p>
      <w:pPr>
        <w:jc w:val="both"/>
      </w:pPr>
      <w:r>
        <w:t xml:space="preserve">Głośne czytanie dzieciom rozwija mowę szybciej niż sama rozmowa</w:t>
      </w:r>
      <w:r>
        <w:rPr>
          <w:rStyle w:val="FootnoteReference"/>
        </w:rPr>
        <w:footnoteReference w:id="2"/>
      </w:r>
      <w:r>
        <w:t xml:space="preserve">. Podobne wnioski przedstawia ten sam zespół w dalszej części badań</w:t>
      </w:r>
      <w:r>
        <w:rPr>
          <w:rStyle w:val="FootnoteReference"/>
        </w:rPr>
        <w:footnoteReference w:id="3"/>
      </w:r>
      <w:r>
        <w:t xml:space="preserve">. Czytanie książek w dzieciństwie wpływa na bogactwo słownictwa, umiejętność rozumienia tekstu i wyobraźnię. Dzieci, którym rodzice czytają codziennie, szybciej uczą się nowych słów i chętniej same sięgają po książki.</w:t>
      </w:r>
    </w:p>
    <w:p>
      <w:r>
        <w:br w:type="page"/>
      </w:r>
    </w:p>
    <w:p>
      <w:pPr>
        <w:pStyle w:val="Heading1"/>
        <w:numPr>
          <w:ilvl w:val="0"/>
          <w:numId w:val="2"/>
        </w:numPr>
      </w:pPr>
      <w:r>
        <w:t xml:space="preserve">Metodologia badań własnych</w:t>
      </w:r>
    </w:p>
    <w:p>
      <w:pPr>
        <w:pStyle w:val="Heading2"/>
        <w:numPr>
          <w:ilvl w:val="1"/>
          <w:numId w:val="2"/>
        </w:numPr>
      </w:pPr>
      <w:r>
        <w:t xml:space="preserve">Cel i problem badawczy</w:t>
      </w:r>
    </w:p>
    <w:p>
      <w:pPr>
        <w:jc w:val="both"/>
      </w:pPr>
      <w:r>
        <w:t xml:space="preserve">Celem badania było sprawdzenie, czy codzienne czytanie wpływa na liczbę znanych dziecku słów. Biblioteki szkolne odgrywają tu dużą rolę</w:t>
      </w:r>
      <w:r>
        <w:rPr>
          <w:rStyle w:val="FootnoteReference"/>
        </w:rPr>
        <w:footnoteReference w:id="4"/>
      </w:r>
      <w:r>
        <w:t xml:space="preserve">. Czytanie książek w dzieciństwie wpływa na bogactwo słownictwa, umiejętność rozumienia tekstu i wyobraźnię. Dzieci, którym rodzice czytają codziennie, szybciej uczą się nowych słów i chętniej same sięgają po książki.</w:t>
      </w:r>
    </w:p>
    <w:p>
      <w:pPr>
        <w:pStyle w:val="Heading2"/>
        <w:numPr>
          <w:ilvl w:val="1"/>
          <w:numId w:val="2"/>
        </w:numPr>
      </w:pPr>
      <w:r>
        <w:t xml:space="preserve">Wyniki ankiety</w:t>
      </w:r>
    </w:p>
    <w:p>
      <w:r>
        <w:t xml:space="preserve">Wyniki przedstawia tabela 1 i wykres poniżej.</w:t>
      </w:r>
    </w:p>
    <w:p>
      <w:pPr>
        <w:pStyle w:val="Caption"/>
      </w:pPr>
      <w:bookmarkStart w:name="_Reftab1_c" w:id="3"/>
      <w:bookmarkStart w:name="_Reftab1" w:id="1"/>
      <w:r>
        <w:t xml:space="preserve">Tabela </w:t>
      </w:r>
      <w:fldSimple w:instr="SEQ Tabela \* ARABIC">
        <w:r>
          <w:t xml:space="preserve">1</w:t>
        </w:r>
      </w:fldSimple>
      <w:bookmarkEnd w:id="1"/>
      <w:bookmarkStart w:name="_Reftab1_t" w:id="2"/>
      <w:r>
        <w:t xml:space="preserve">. Liczba znanych słów a czas czytania</w:t>
      </w:r>
      <w:bookmarkEnd w:id="2"/>
      <w:bookmarkEnd w:id="3"/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52"/>
        <w:gridCol w:w="4252"/>
      </w:tblGrid>
      <w:tr>
        <w:trPr>
          <w:tblHeader/>
        </w:trPr>
        <w:tc>
          <w:tcPr>
            <w:tcW w:type="dxa" w:w="4252"/>
          </w:tcPr>
          <w:p>
            <w:r>
              <w:rPr>
                <w:b/>
                <w:bCs/>
              </w:rPr>
              <w:t xml:space="preserve">Czas czytania dziennie</w:t>
            </w:r>
          </w:p>
        </w:tc>
        <w:tc>
          <w:tcPr>
            <w:tcW w:type="dxa" w:w="4252"/>
          </w:tcPr>
          <w:p>
            <w:r>
              <w:rPr>
                <w:b/>
                <w:bCs/>
              </w:rPr>
              <w:t xml:space="preserve">Średnia liczba słów</w:t>
            </w:r>
          </w:p>
        </w:tc>
      </w:tr>
      <w:tr>
        <w:tc>
          <w:tcPr>
            <w:tcW w:type="dxa" w:w="4252"/>
          </w:tcPr>
          <w:p>
            <w:r>
              <w:t xml:space="preserve">mniej niż 10 minut</w:t>
            </w:r>
          </w:p>
        </w:tc>
        <w:tc>
          <w:tcPr>
            <w:tcW w:type="dxa" w:w="4252"/>
          </w:tcPr>
          <w:p>
            <w:r>
              <w:t xml:space="preserve">2 100</w:t>
            </w:r>
          </w:p>
        </w:tc>
      </w:tr>
      <w:tr>
        <w:tc>
          <w:tcPr>
            <w:tcW w:type="dxa" w:w="4252"/>
          </w:tcPr>
          <w:p>
            <w:r>
              <w:t xml:space="preserve">10–30 minut</w:t>
            </w:r>
          </w:p>
        </w:tc>
        <w:tc>
          <w:tcPr>
            <w:tcW w:type="dxa" w:w="4252"/>
          </w:tcPr>
          <w:p>
            <w:r>
              <w:t xml:space="preserve">2 650</w:t>
            </w:r>
          </w:p>
        </w:tc>
      </w:tr>
      <w:tr>
        <w:tc>
          <w:tcPr>
            <w:tcW w:type="dxa" w:w="4252"/>
          </w:tcPr>
          <w:p>
            <w:r>
              <w:t xml:space="preserve">ponad 30 minut</w:t>
            </w:r>
          </w:p>
        </w:tc>
        <w:tc>
          <w:tcPr>
            <w:tcW w:type="dxa" w:w="4252"/>
          </w:tcPr>
          <w:p>
            <w:r>
              <w:t xml:space="preserve">3 200</w:t>
            </w:r>
          </w:p>
        </w:tc>
      </w:tr>
    </w:tbl>
    <w:p/>
    <w:p>
      <w:r>
        <w:br w:type="page"/>
      </w:r>
    </w:p>
    <w:p>
      <w:pPr>
        <w:pStyle w:val="Heading1"/>
      </w:pPr>
      <w:r>
        <w:t xml:space="preserve">Zakończenie</w:t>
      </w:r>
    </w:p>
    <w:p>
      <w:r>
        <w:t xml:space="preserve">Podsumowanie wyników, wnioski i propozycje dalszych badań.</w:t>
      </w:r>
    </w:p>
    <w:p>
      <w:r>
        <w:br w:type="page"/>
      </w:r>
    </w:p>
    <w:p>
      <w:pPr>
        <w:pStyle w:val="Heading1"/>
      </w:pPr>
      <w:r>
        <w:t xml:space="preserve">Bibliografia</w:t>
      </w:r>
    </w:p>
    <w:sdt>
      <w:sdtPr>
        <w:id w:val="900005"/>
        <w:docPartObj>
          <w:docPartGallery w:val="Bibliographies"/>
          <w:docPartUnique/>
        </w:docPartObj>
      </w:sdtPr>
      <w:sdtContent>
        <w:p>
          <w:pPr>
            <w:pStyle w:val="KartkaBibliografia"/>
          </w:pPr>
          <w:r>
            <w:fldChar w:fldCharType="begin"/>
          </w:r>
          <w:r>
            <w:instrText xml:space="preserve"> BIBLIOGRAPHY \l 1045 </w:instrText>
          </w:r>
          <w:r>
            <w:fldChar w:fldCharType="separate"/>
          </w:r>
          <w:r>
            <w:rPr>
              <w:i w:val="false"/>
              <w:iCs w:val="false"/>
            </w:rPr>
            <w:t xml:space="preserve">Kowalczyk M., </w:t>
          </w:r>
          <w:r>
            <w:rPr>
              <w:i/>
              <w:iCs/>
            </w:rPr>
            <w:t xml:space="preserve">Czytanie w rodzinie</w:t>
          </w:r>
          <w:r>
            <w:rPr>
              <w:i w:val="false"/>
              <w:iCs w:val="false"/>
            </w:rPr>
            <w:t xml:space="preserve">, Wydawnictwo Naukowe PWN, Warszawa 2019.</w:t>
          </w:r>
        </w:p>
        <w:p>
          <w:pPr>
            <w:pStyle w:val="KartkaBibliografia"/>
          </w:pPr>
          <w:r>
            <w:rPr>
              <w:i w:val="false"/>
              <w:iCs w:val="false"/>
            </w:rPr>
            <w:t xml:space="preserve">Lis T., </w:t>
          </w:r>
          <w:r>
            <w:rPr>
              <w:i/>
              <w:iCs/>
            </w:rPr>
            <w:t xml:space="preserve">Biblioteka szkolna w XXI wieku</w:t>
          </w:r>
          <w:r>
            <w:rPr>
              <w:i w:val="false"/>
              <w:iCs w:val="false"/>
            </w:rPr>
            <w:t xml:space="preserve">, Impuls, Kraków 2020.</w:t>
          </w:r>
        </w:p>
        <w:p>
          <w:pPr>
            <w:pStyle w:val="KartkaBibliografia"/>
          </w:pPr>
          <w:r>
            <w:rPr>
              <w:i w:val="false"/>
              <w:iCs w:val="false"/>
            </w:rPr>
            <w:t xml:space="preserve">Nowak P., Zielińska E., </w:t>
          </w:r>
          <w:r>
            <w:rPr>
              <w:i/>
              <w:iCs/>
            </w:rPr>
            <w:t xml:space="preserve">Słownictwo dzieci w wieku przedszkolnym</w:t>
          </w:r>
          <w:r>
            <w:rPr>
              <w:i w:val="false"/>
              <w:iCs w:val="false"/>
            </w:rPr>
            <w:t xml:space="preserve">, „Edukacja Elementarna” 2021, t. 14, s. 23–41.</w:t>
          </w:r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Spis tabel</w:t>
      </w:r>
    </w:p>
    <w:sdt>
      <w:sdtPr>
        <w:alias w:val="Spis – Tabela"/>
      </w:sdtPr>
      <w:sdtContent>
        <w:p>
          <w:pPr>
            <w:pStyle w:val="TOC1"/>
            <w:tabs>
              <w:tab w:val="clear" w:pos="9026"/>
              <w:tab w:val="right" w:pos="9025" w:leader="dot"/>
            </w:tabs>
          </w:pPr>
          <w:r>
            <w:fldChar w:fldCharType="begin" w:dirty="false"/>
            <w:instrText xml:space="preserve">TOC \c "Tabela" \h</w:instrText>
            <w:fldChar w:fldCharType="separate"/>
          </w:r>
          <w:r>
            <w:t xml:space="default">Tabela 1. Liczba znanych słów a czas czytania</w:t>
            <w:tab/>
            <w:t xml:space="default">5</w:t>
          </w:r>
        </w:p>
        <w:p>
          <w:r>
            <w:fldChar w:fldCharType="end"/>
          </w:r>
        </w:p>
      </w:sdtContent>
    </w:sdt>
    <w:p>
      <w:pPr>
        <w:pStyle w:val="Heading1"/>
      </w:pPr>
      <w:r>
        <w:t xml:space="preserve">Spis rysunków</w:t>
      </w:r>
    </w:p>
    <w:sdt>
      <w:sdtPr>
        <w:alias w:val="Spis – Rysunek"/>
      </w:sdtPr>
      <w:sdtContent>
        <w:p>
          <w:r>
            <w:fldChar w:fldCharType="begin" w:dirty="false"/>
            <w:instrText xml:space="preserve">TOC \c "Rysunek" \h</w:instrText>
            <w:fldChar w:fldCharType="separate"/>
          </w:r>
        </w:p>
        <w:p>
          <w:r>
            <w:t xml:space="preserve">Brak pozycji – zaktualizuj pole.</w:t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Aneks</w:t>
      </w:r>
    </w:p>
    <w:p/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417" w:right="1417" w:bottom="1417" w:left="1984" w:header="709" w:footer="709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fldChar w:fldCharType="begin"/>
      </w:r>
      <w:r>
        <w:instrText xml:space="preserve"> CITATION kow2019 \l 1045 \p 15 </w:instrText>
      </w:r>
      <w:r>
        <w:fldChar w:fldCharType="separate"/>
      </w:r>
      <w:r>
        <w:rPr>
          <w:i w:val="false"/>
          <w:iCs w:val="false"/>
        </w:rPr>
        <w:t xml:space="preserve">M. Kowalczyk, </w:t>
      </w:r>
      <w:r>
        <w:rPr>
          <w:i/>
          <w:iCs/>
        </w:rPr>
        <w:t xml:space="preserve">Czytanie w rodzinie</w:t>
      </w:r>
      <w:r>
        <w:rPr>
          <w:i w:val="false"/>
          <w:iCs w:val="false"/>
        </w:rPr>
        <w:t xml:space="preserve">, Wydawnictwo Naukowe PWN, Warszawa 2019, s. 15.</w:t>
      </w:r>
      <w:r>
        <w:fldChar w:fldCharType="end"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fldChar w:fldCharType="begin"/>
      </w:r>
      <w:r>
        <w:instrText xml:space="preserve"> CITATION nowak2021 \l 1045 \p 30 </w:instrText>
      </w:r>
      <w:r>
        <w:fldChar w:fldCharType="separate"/>
      </w:r>
      <w:r>
        <w:rPr>
          <w:i w:val="false"/>
          <w:iCs w:val="false"/>
        </w:rPr>
        <w:t xml:space="preserve">P. Nowak, E. Zielińska, </w:t>
      </w:r>
      <w:r>
        <w:rPr>
          <w:i/>
          <w:iCs/>
        </w:rPr>
        <w:t xml:space="preserve">Słownictwo dzieci w wieku przedszkolnym</w:t>
      </w:r>
      <w:r>
        <w:rPr>
          <w:i w:val="false"/>
          <w:iCs w:val="false"/>
        </w:rPr>
        <w:t xml:space="preserve">, „Edukacja Elementarna” 2021, t. 14, s. 30.</w:t>
      </w:r>
      <w:r>
        <w:fldChar w:fldCharType="end"/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fldChar w:fldCharType="begin"/>
      </w:r>
      <w:r>
        <w:instrText xml:space="preserve"> CITATION nowak2021 \l 1045 \p 34 </w:instrText>
      </w:r>
      <w:r>
        <w:fldChar w:fldCharType="separate"/>
      </w:r>
      <w:r>
        <w:rPr>
          <w:i w:val="false"/>
          <w:iCs w:val="false"/>
        </w:rPr>
        <w:t xml:space="preserve">Tamże, s. 34.</w:t>
      </w:r>
      <w:r>
        <w:fldChar w:fldCharType="end"/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fldChar w:fldCharType="begin"/>
      </w:r>
      <w:r>
        <w:instrText xml:space="preserve"> CITATION lis2020 \l 1045 \p 58 </w:instrText>
      </w:r>
      <w:r>
        <w:fldChar w:fldCharType="separate"/>
      </w:r>
      <w:r>
        <w:rPr>
          <w:i w:val="false"/>
          <w:iCs w:val="false"/>
        </w:rPr>
        <w:t xml:space="preserve">T. Lis, </w:t>
      </w:r>
      <w:r>
        <w:rPr>
          <w:i/>
          <w:iCs/>
        </w:rPr>
        <w:t xml:space="preserve">Biblioteka szkolna w XXI wieku</w:t>
      </w:r>
      <w:r>
        <w:rPr>
          <w:i w:val="false"/>
          <w:iCs w:val="false"/>
        </w:rPr>
        <w:t xml:space="preserve">, Impuls, Kraków 2020, s. 58.</w:t>
      </w:r>
      <w:r>
        <w:fldChar w:fldCharType="end"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suff w:val="space"/>
      <w:lvlText w:val="Rozdział %1"/>
      <w:lvlJc w:val="left"/>
      <w:pPr>
        <w:ind w:left="0" w:hanging="0"/>
      </w:pPr>
    </w:lvl>
    <w:lvl w:ilvl="1" w:tentative="1">
      <w:start w:val="1"/>
      <w:numFmt w:val="decimal"/>
      <w:isLgl/>
      <w:suff w:val="space"/>
      <w:lvlText w:val="%1.%2."/>
      <w:lvlJc w:val="left"/>
      <w:pPr>
        <w:ind w:left="0" w:hanging="0"/>
      </w:pPr>
    </w:lvl>
    <w:lvl w:ilvl="2" w:tentative="1">
      <w:start w:val="1"/>
      <w:numFmt w:val="decimal"/>
      <w:isLgl/>
      <w:suff w:val="space"/>
      <w:lvlText w:val="%1.%2.%3."/>
      <w:lvlJc w:val="left"/>
      <w:pPr>
        <w:ind w:left="0" w:hanging="0"/>
      </w:pPr>
    </w:lvl>
    <w:lvl w:ilvl="3" w:tentative="1">
      <w:start w:val="1"/>
      <w:numFmt w:val="decimal"/>
      <w:isLgl/>
      <w:suff w:val="space"/>
      <w:lvlText w:val="%1.%2.%3.%4."/>
      <w:lvlJc w:val="left"/>
      <w:pPr>
        <w:ind w:left="0" w:hanging="0"/>
      </w:pPr>
    </w:lvl>
    <w:lvl w:ilvl="4" w:tentative="1">
      <w:start w:val="1"/>
      <w:numFmt w:val="decimal"/>
      <w:isLgl/>
      <w:suff w:val="space"/>
      <w:lvlJc w:val="left"/>
      <w:pPr>
        <w:ind w:left="0" w:hanging="0"/>
      </w:pPr>
    </w:lvl>
    <w:lvl w:ilvl="5" w:tentative="1">
      <w:start w:val="1"/>
      <w:numFmt w:val="decimal"/>
      <w:isLgl/>
      <w:suff w:val="space"/>
      <w:lvlJc w:val="left"/>
      <w:pPr>
        <w:ind w:left="0" w:hanging="0"/>
      </w:pPr>
    </w:lvl>
    <w:lvl w:ilvl="6" w:tentative="1">
      <w:start w:val="1"/>
      <w:numFmt w:val="decimal"/>
      <w:isLgl/>
      <w:suff w:val="space"/>
      <w:lvlJc w:val="left"/>
      <w:pPr>
        <w:ind w:left="0" w:hanging="0"/>
      </w:pPr>
    </w:lvl>
    <w:lvl w:ilvl="7" w:tentative="1">
      <w:start w:val="1"/>
      <w:numFmt w:val="decimal"/>
      <w:isLgl/>
      <w:suff w:val="space"/>
      <w:lvlJc w:val="left"/>
      <w:pPr>
        <w:ind w:left="0" w:hanging="0"/>
      </w:pPr>
    </w:lvl>
    <w:lvl w:ilvl="8" w:tentative="1">
      <w:start w:val="1"/>
      <w:numFmt w:val="decimal"/>
      <w:isLgl/>
      <w:suff w:val="space"/>
      <w:lvlJc w:val="left"/>
      <w:pPr>
        <w:ind w:left="0" w:hanging="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360" w:lineRule="auto"/>
        <w:ind w:firstLine="708"/>
        <w:jc w:val="both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0" w:before="0" w:line="240" w:lineRule="auto"/>
      <w:contextualSpacing/>
    </w:pPr>
    <w:rPr>
      <w:rFonts w:ascii="Calibri Light" w:cs="Calibri Light" w:eastAsia="Calibri Light" w:hAnsi="Calibri Light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360" w:before="0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4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120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after="0" w:before="40"/>
    </w:pPr>
    <w:rPr>
      <w:rFonts w:ascii="Calibri Light" w:cs="Calibri Light" w:eastAsia="Calibri Light" w:hAnsi="Calibri Light"/>
      <w:i/>
      <w:iCs/>
      <w:color w:val="2F5496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after="0" w:before="40"/>
    </w:pPr>
    <w:rPr>
      <w:rFonts w:ascii="Calibri Light" w:cs="Calibri Light" w:eastAsia="Calibri Light" w:hAnsi="Calibri Light"/>
      <w:color w:val="2F5496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after="0" w:before="40"/>
    </w:pPr>
    <w:rPr>
      <w:rFonts w:ascii="Calibri Light" w:cs="Calibri Light" w:eastAsia="Calibri Light" w:hAnsi="Calibri Light"/>
      <w:color w:val="1F3763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before="0" w:line="240" w:lineRule="auto"/>
      <w:ind w:left="0" w:right="0" w:firstLine="0"/>
      <w:jc w:val="both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before="0" w:line="240" w:lineRule="auto"/>
      <w:ind w:left="0" w:right="0" w:firstLine="0"/>
      <w:jc w:val="both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qFormat/>
    <w:pPr>
      <w:spacing w:after="160"/>
    </w:pPr>
    <w:rPr>
      <w:rFonts w:ascii="Calibri" w:cs="Calibri" w:eastAsia="Calibri" w:hAnsi="Calibri"/>
      <w:color w:val="5A5A5A"/>
      <w:sz w:val="22"/>
      <w:szCs w:val="22"/>
    </w:rPr>
  </w:style>
  <w:style w:type="paragraph" w:styleId="Quote">
    <w:name w:val="Quote"/>
    <w:basedOn w:val="Normal"/>
    <w:next w:val="Normal"/>
    <w:qFormat/>
    <w:pPr>
      <w:spacing w:after="160" w:before="200" w:line="240" w:lineRule="auto"/>
      <w:ind w:left="864" w:right="864"/>
      <w:jc w:val="both"/>
    </w:pPr>
    <w:rPr>
      <w:rFonts w:ascii="Times New Roman" w:cs="Times New Roman" w:eastAsia="Times New Roman" w:hAnsi="Times New Roman"/>
      <w:i/>
      <w:iCs/>
      <w:color w:val="000000"/>
      <w:sz w:val="22"/>
      <w:szCs w:val="22"/>
    </w:rPr>
  </w:style>
  <w:style w:type="paragraph" w:styleId="Code">
    <w:name w:val="Code"/>
    <w:basedOn w:val="Normal"/>
    <w:next w:val="Normal"/>
    <w:qFormat/>
    <w:pPr>
      <w:shd w:fill="F2F2F2" w:color="auto" w:val="clear"/>
      <w:spacing w:after="0" w:before="0" w:line="240" w:lineRule="auto"/>
    </w:pPr>
    <w:rPr>
      <w:rFonts w:ascii="Consolas" w:cs="Consolas" w:eastAsia="Consolas" w:hAnsi="Consolas"/>
      <w:sz w:val="20"/>
      <w:szCs w:val="20"/>
    </w:rPr>
  </w:style>
  <w:style w:type="paragraph" w:styleId="Caption">
    <w:name w:val="caption"/>
    <w:basedOn w:val="Normal"/>
    <w:next w:val="Normal"/>
    <w:qFormat/>
    <w:pPr>
      <w:spacing w:after="120" w:before="120" w:line="240" w:lineRule="auto"/>
    </w:pPr>
    <w:rPr>
      <w:rFonts w:ascii="Times New Roman" w:cs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uiPriority w:val="99"/>
    <w:unhideWhenUsed/>
    <w:pPr>
      <w:spacing w:after="0" w:before="0" w:line="240" w:lineRule="auto"/>
      <w:ind w:left="0" w:right="0" w:firstLine="0"/>
      <w:jc w:val="left"/>
    </w:pPr>
  </w:style>
  <w:style w:type="paragraph" w:styleId="Footer">
    <w:name w:val="footer"/>
    <w:basedOn w:val="Normal"/>
    <w:uiPriority w:val="99"/>
    <w:unhideWhenUsed/>
    <w:pPr>
      <w:spacing w:after="0" w:before="0" w:line="240" w:lineRule="auto"/>
      <w:ind w:left="0" w:right="0" w:firstLine="0"/>
      <w:jc w:val="left"/>
    </w:pPr>
  </w:style>
  <w:style w:type="paragraph" w:styleId="KartkaBibliografia">
    <w:name w:val="Bibliografia"/>
    <w:basedOn w:val="Normal"/>
    <w:next w:val="Normal"/>
    <w:qFormat/>
    <w:pPr>
      <w:keepLines/>
      <w:spacing w:after="120"/>
      <w:ind w:hanging="720"/>
    </w:pPr>
  </w:style>
  <w:style w:type="character" w:styleId="KartkaCytat">
    <w:name w:val="Cytat (Kartka)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Relationship Id="rIdKartkaMeta" Type="http://schemas.openxmlformats.org/officeDocument/2006/relationships/customXml" Target="../customXml/item1.xml"/><Relationship Id="rIdKartkaBib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kartka xmlns="urn:kartka:metadata:1">{"version":1,"headingNumbering":"rozdzial","captions":{"chapter":false},"citationStyle":"przypisy","sources":[{"id":"kow2019","type":"ksiazka","authors":"Kowalczyk, Maria","title":"Czytanie w rodzinie","publisher":"Wydawnictwo Naukowe PWN","city":"Warszawa","year":"2019"},{"id":"nowak2021","type":"artykul","authors":"Nowak, Piotr; Zielińska, Ewa","title":"Słownictwo dzieci w wieku przedszkolnym","container":"Edukacja Elementarna","year":"2021","volume":"14","pages":"23-41"},{"id":"lis2020","type":"ksiazka","authors":"Lis, Tomasz","title":"Biblioteka szkolna w XXI wieku","publisher":"Impuls","city":"Kraków","year":"2020"}],"citations":[],"footnoteCites":[{"index":1,"cite":{"sourceId":"kow2019","pages":"15"}},{"index":2,"cite":{"sourceId":"nowak2021","pages":"30"}},{"index":3,"cite":{"sourceId":"nowak2021","pages":"34"}},{"index":4,"cite":{"sourceId":"lis2020","pages":"58"}}],"endnoteCites":[],"tables":[{"style":null,"align":null,"look":null,"width":null,"indent":null,"cellMargins":null,"borders":null,"layout":null,"title":null,"description":null,"borderless":false}],"equations":[]}</kartk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Chicago" Version="6">
  <b:Source>
    <b:Tag>kow2019</b:Tag>
    <b:SourceType>Book</b:SourceType>
    <b:Author>
      <b:Author>
        <b:NameList>
          <b:Person>
            <b:Last>Kowalczyk</b:Last>
            <b:First>Maria</b:First>
          </b:Person>
        </b:NameList>
      </b:Author>
    </b:Author>
    <b:Title>Czytanie w rodzinie</b:Title>
    <b:Year>2019</b:Year>
    <b:City>Warszawa</b:City>
    <b:Publisher>Wydawnictwo Naukowe PWN</b:Publisher>
    <b:LCID>1045</b:LCID>
  </b:Source>
  <b:Source>
    <b:Tag>nowak2021</b:Tag>
    <b:SourceType>JournalArticle</b:SourceType>
    <b:Author>
      <b:Author>
        <b:NameList>
          <b:Person>
            <b:Last>Nowak</b:Last>
            <b:First>Piotr</b:First>
          </b:Person>
          <b:Person>
            <b:Last>Zielińska</b:Last>
            <b:First>Ewa</b:First>
          </b:Person>
        </b:NameList>
      </b:Author>
    </b:Author>
    <b:Title>Słownictwo dzieci w wieku przedszkolnym</b:Title>
    <b:JournalName>Edukacja Elementarna</b:JournalName>
    <b:Year>2021</b:Year>
    <b:Volume>14</b:Volume>
    <b:Pages>23-41</b:Pages>
    <b:LCID>1045</b:LCID>
  </b:Source>
  <b:Source>
    <b:Tag>lis2020</b:Tag>
    <b:SourceType>Book</b:SourceType>
    <b:Author>
      <b:Author>
        <b:NameList>
          <b:Person>
            <b:Last>Lis</b:Last>
            <b:First>Tomasz</b:First>
          </b:Person>
        </b:NameList>
      </b:Author>
    </b:Author>
    <b:Title>Biblioteka szkolna w XXI wieku</b:Title>
    <b:Year>2020</b:Year>
    <b:City>Kraków</b:City>
    <b:Publisher>Impuls</b:Publisher>
    <b:LCID>1045</b:LCID>
  </b:Source>
</b:Sources>
</file>

<file path=customXml/itemProps1.xml><?xml version="1.0" encoding="utf-8"?>
<ds:datastoreItem xmlns:ds="http://schemas.openxmlformats.org/officeDocument/2006/customXml" ds:itemID="{6B0D2C1E-5A4F-4E8B-9C3D-4B61A7F00001}">
  <ds:schemaRefs>
    <ds:schemaRef ds:uri="urn:kartka:metadata:1"/>
  </ds:schemaRefs>
</ds:datastoreItem>
</file>

<file path=customXml/itemProps2.xml><?xml version="1.0" encoding="utf-8"?>
<ds:datastoreItem xmlns:ds="http://schemas.openxmlformats.org/officeDocument/2006/customXml" ds:itemID="{6B0D2C1E-5A4F-4E8B-9C3D-4B61A7F0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Wpływ czytania na rozwój słownictwa dzieci</dc:title>
  <dc:subject>Praca magisterska</dc:subject>
  <dc:creator>Anna Kowalska</dc:creator>
  <cp:lastModifiedBy>Anna Kowalska</cp:lastModifiedBy>
  <cp:revision>1</cp:revision>
  <dcterms:created xsi:type="dcterms:W3CDTF">2026-10-23T21:53:26.753Z</dcterms:created>
  <dcterms:modified xsi:type="dcterms:W3CDTF">2026-10-23T21:53:26.753Z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